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2022年提名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兵团科技进步奖项目公示</w:t>
      </w:r>
    </w:p>
    <w:p>
      <w:pPr>
        <w:rPr>
          <w:rFonts w:hint="eastAsia"/>
          <w:lang w:eastAsia="zh-CN"/>
        </w:rPr>
      </w:pP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6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Masquelet技术修复长段骨缺损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主要完成单位</w:t>
            </w:r>
          </w:p>
        </w:tc>
        <w:tc>
          <w:tcPr>
            <w:tcW w:w="6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新疆生产建设兵团第一师医院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主要完成人</w:t>
            </w:r>
          </w:p>
        </w:tc>
        <w:tc>
          <w:tcPr>
            <w:tcW w:w="6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汤志辉、欧阳国新、吕战虎、王良勇、沈宏达、许景红、毛成鹏、张燕如、杜红军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项目简介</w:t>
            </w:r>
          </w:p>
        </w:tc>
        <w:tc>
          <w:tcPr>
            <w:tcW w:w="6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应用Masquelet技术修复长段骨缺损关键在于彻底的清创,其为防止创面感染的重要措施，当完成对创面的预判工作后，适当的创基处理、合适的敷料覆盖以及闭合方法在加速愈合中有重要作用。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核心技术为诱导膜技术应用：I期手术目的是控制感染，应用PMMA及诱导膜技术进行完整的覆盖创面，骨水泥植入后4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6周内形成厚度约1mm的诱导膜，诱导膜可诱导成骨，还能防止周围软组织吸收骨质；骨缺损区填充骨水泥略大于正常骨直径，以利于形成更大的诱导膜；如使用内固定尽量不妨碍二期骨水泥的取出和植骨。6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8周内行II期手术治疗，取出骨水泥时要充分保护诱导膜的完整性，选择自体松质骨植入更有利于骨质愈合。II期植骨后完整缝合诱导膜并要有坚强的固定。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骨科中心将诱导膜技术广泛应用于此类临床患者，临床效果满意，相关研究达到国家级同等水平。并在此基础上保持可持续性提升，在糖尿病足病、慢性创面修复等方面广泛应用，提高糖尿病足骨髓炎、感染创面的愈合率，降低截肢率和死亡率，减少平均住院日及医保支出费用，填补该地区的技术空白，促进该项技术的推广应用。于2021年立项兵团级课题一项，发表北大核刊、统计源核刊论文2篇，国家级刊物1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提名者</w:t>
            </w:r>
          </w:p>
        </w:tc>
        <w:tc>
          <w:tcPr>
            <w:tcW w:w="6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第一师阿拉尔市科学技术局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提名意见</w:t>
            </w:r>
          </w:p>
        </w:tc>
        <w:tc>
          <w:tcPr>
            <w:tcW w:w="6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2013年以来，第一师医院骨科中心在应用Masquelet修复长段骨缺损方面取得了优异的成绩，并在技术上进行了科技创新，诱导膜技术推广应用实行分期住院治疗，减少了平均住院日，亦有利于DIP/DRG付费改革的实施。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应用可以使长段骨缺损的患者得到合理的治疗，此类患者将不再转院治疗或截肢治疗。诱导膜技术的推广应用，促使骨科中心在慢创修复、糖足等方面取得了一定的成绩，扩大了对诱导膜的认识，更好的应用诱导膜技术解决了临床工作中的新问题。近三年完成相关手术108例，带来直接经济效益350万元，直接增加了医院经济指标的增长及社会影响力，提高本地域保肢水平，减少了本地区患者内地就医所增加的费用，让患者更好的回归到社会生活、工作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提名等级</w:t>
            </w:r>
          </w:p>
        </w:tc>
        <w:tc>
          <w:tcPr>
            <w:tcW w:w="6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兵团科技进步奖三等奖</w:t>
            </w: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80" w:tblpY="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608"/>
        <w:gridCol w:w="2272"/>
        <w:gridCol w:w="1776"/>
        <w:gridCol w:w="1367"/>
        <w:gridCol w:w="307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tblHeader/>
        </w:trPr>
        <w:tc>
          <w:tcPr>
            <w:tcW w:w="1417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代表性论文和专著目录（不超过8篇）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65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360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论文/专著名称</w:t>
            </w:r>
          </w:p>
        </w:tc>
        <w:tc>
          <w:tcPr>
            <w:tcW w:w="22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刊名/出版社</w:t>
            </w:r>
          </w:p>
        </w:tc>
        <w:tc>
          <w:tcPr>
            <w:tcW w:w="177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期刊卷号/书号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发表时间</w:t>
            </w:r>
          </w:p>
        </w:tc>
        <w:tc>
          <w:tcPr>
            <w:tcW w:w="307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作者</w:t>
            </w: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通讯作者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65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</w:t>
            </w:r>
          </w:p>
        </w:tc>
        <w:tc>
          <w:tcPr>
            <w:tcW w:w="3608" w:type="dxa"/>
            <w:vAlign w:val="center"/>
          </w:tcPr>
          <w:p>
            <w:pPr>
              <w:wordWrap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Masquelet技术联合腓肠神经营养血管皮瓣修复足部骨、软组织复合缺损</w:t>
            </w:r>
          </w:p>
        </w:tc>
        <w:tc>
          <w:tcPr>
            <w:tcW w:w="22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临床骨科杂志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line="300" w:lineRule="atLeast"/>
              <w:ind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2017,20(06):694-697.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3071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汤志辉,许景红,欧阳国新,毛成鹏,李铭</w:t>
            </w: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汤志辉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65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3608" w:type="dxa"/>
            <w:vAlign w:val="center"/>
          </w:tcPr>
          <w:p>
            <w:pPr>
              <w:wordWrap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应用Masquelet技术修复长段骨缺损临床分析</w:t>
            </w:r>
          </w:p>
        </w:tc>
        <w:tc>
          <w:tcPr>
            <w:tcW w:w="22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中国伤残医学</w:t>
            </w:r>
          </w:p>
        </w:tc>
        <w:tc>
          <w:tcPr>
            <w:tcW w:w="177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26(19):2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2018</w:t>
            </w:r>
          </w:p>
        </w:tc>
        <w:tc>
          <w:tcPr>
            <w:tcW w:w="3071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汤志辉, 杜红军, 李铭</w:t>
            </w: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汤志辉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65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3608" w:type="dxa"/>
            <w:vAlign w:val="center"/>
          </w:tcPr>
          <w:p>
            <w:pPr>
              <w:wordWrap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分期诱导膜与胫骨滑移植骨治疗感染性距骨缺损</w:t>
            </w:r>
          </w:p>
        </w:tc>
        <w:tc>
          <w:tcPr>
            <w:tcW w:w="22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中国矫形外科杂志</w:t>
            </w:r>
          </w:p>
        </w:tc>
        <w:tc>
          <w:tcPr>
            <w:tcW w:w="177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2022(030-009)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3071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吕战虎, 王良勇,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汤志辉</w:t>
            </w: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汤志辉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65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8" w:type="dxa"/>
            <w:vAlign w:val="center"/>
          </w:tcPr>
          <w:p>
            <w:pPr>
              <w:wordWrap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65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8" w:type="dxa"/>
            <w:vAlign w:val="center"/>
          </w:tcPr>
          <w:p>
            <w:pPr>
              <w:wordWrap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65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8" w:type="dxa"/>
            <w:vAlign w:val="center"/>
          </w:tcPr>
          <w:p>
            <w:pPr>
              <w:wordWrap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65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8" w:type="dxa"/>
            <w:vAlign w:val="center"/>
          </w:tcPr>
          <w:p>
            <w:pPr>
              <w:wordWrap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65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08" w:type="dxa"/>
            <w:vAlign w:val="center"/>
          </w:tcPr>
          <w:p>
            <w:pPr>
              <w:wordWrap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1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OTFhMjA0ZmE3MjdhM2NlMTJjZGU4MWVlMWUzNjcifQ=="/>
  </w:docVars>
  <w:rsids>
    <w:rsidRoot w:val="74537DEA"/>
    <w:rsid w:val="0A77629C"/>
    <w:rsid w:val="2B550EDE"/>
    <w:rsid w:val="38837606"/>
    <w:rsid w:val="3D16640B"/>
    <w:rsid w:val="74537DEA"/>
    <w:rsid w:val="7F6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1059</Words>
  <Characters>1113</Characters>
  <Lines>0</Lines>
  <Paragraphs>0</Paragraphs>
  <TotalTime>0</TotalTime>
  <ScaleCrop>false</ScaleCrop>
  <LinksUpToDate>false</LinksUpToDate>
  <CharactersWithSpaces>1117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2020-03-25T05:16:00Z</dcterms:created>
  <dc:creator>1234</dc:creator>
  <cp:lastModifiedBy>有始无终</cp:lastModifiedBy>
  <dcterms:modified xsi:type="dcterms:W3CDTF">2022-11-07T10:49:14Z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393856D1CAA4411FB467672681ABA7CF</vt:lpwstr>
  </property>
</Properties>
</file>